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AB" w:rsidRPr="00151691" w:rsidRDefault="009C2EAB" w:rsidP="009C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ЗАКЛЮЧЕНИЕ №07 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151691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151691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«Развитие и обеспечение сохранности сети автомобильных дорог на территории городского округа Красноуральск на 2019 – 2024 годы».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25 января 2019 года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  <w:r w:rsidRPr="00151691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21.01.2019 № 292 – на 1 листе.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151691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программу «Развитие и обеспечение сохранности сети автомобильных дорог на территории</w:t>
      </w:r>
      <w:r w:rsidRPr="00151691">
        <w:rPr>
          <w:rFonts w:ascii="Times New Roman" w:hAnsi="Times New Roman"/>
          <w:b/>
          <w:sz w:val="28"/>
          <w:szCs w:val="28"/>
        </w:rPr>
        <w:t xml:space="preserve"> </w:t>
      </w:r>
      <w:r w:rsidRPr="00151691">
        <w:rPr>
          <w:rFonts w:ascii="Times New Roman" w:hAnsi="Times New Roman"/>
          <w:sz w:val="28"/>
          <w:szCs w:val="28"/>
        </w:rPr>
        <w:t>городского округа Красноуральск на 2019 – 2024 годы» - на 10 листах (далее – Проект).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4. Справочный материал – на 8 листах. 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151691">
        <w:rPr>
          <w:rFonts w:ascii="Times New Roman" w:hAnsi="Times New Roman"/>
          <w:b/>
          <w:i/>
          <w:sz w:val="28"/>
          <w:szCs w:val="28"/>
        </w:rPr>
        <w:t>орган:</w:t>
      </w:r>
      <w:r w:rsidRPr="00151691">
        <w:rPr>
          <w:rFonts w:ascii="Times New Roman" w:hAnsi="Times New Roman"/>
          <w:sz w:val="28"/>
          <w:szCs w:val="28"/>
        </w:rPr>
        <w:t xml:space="preserve">  22</w:t>
      </w:r>
      <w:proofErr w:type="gramEnd"/>
      <w:r w:rsidRPr="00151691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51691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5169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5169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51691">
        <w:rPr>
          <w:rFonts w:ascii="Times New Roman" w:hAnsi="Times New Roman"/>
          <w:sz w:val="28"/>
          <w:szCs w:val="28"/>
        </w:rPr>
        <w:t xml:space="preserve"> «Развитие и обеспечение сохранности сети автомобильных дорог на территории</w:t>
      </w:r>
      <w:r w:rsidRPr="00151691">
        <w:rPr>
          <w:rFonts w:ascii="Times New Roman" w:hAnsi="Times New Roman"/>
          <w:b/>
          <w:sz w:val="28"/>
          <w:szCs w:val="28"/>
        </w:rPr>
        <w:t xml:space="preserve"> </w:t>
      </w:r>
      <w:r w:rsidRPr="00151691">
        <w:rPr>
          <w:rFonts w:ascii="Times New Roman" w:hAnsi="Times New Roman"/>
          <w:sz w:val="28"/>
          <w:szCs w:val="28"/>
        </w:rPr>
        <w:t xml:space="preserve">городского округа Красноуральск на 2019 – 2024 годы», соответствия их показателям бюджета городского </w:t>
      </w:r>
      <w:proofErr w:type="gramStart"/>
      <w:r w:rsidRPr="00151691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151691">
        <w:rPr>
          <w:rFonts w:ascii="Times New Roman" w:hAnsi="Times New Roman"/>
          <w:sz w:val="28"/>
          <w:szCs w:val="28"/>
        </w:rPr>
        <w:t>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151691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9C2EAB" w:rsidRPr="00151691" w:rsidRDefault="009C2EAB" w:rsidP="009C2E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9C2EAB" w:rsidRPr="00151691" w:rsidRDefault="009C2EAB" w:rsidP="009C2E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1.</w:t>
      </w:r>
      <w:r w:rsidRPr="00151691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</w:t>
      </w:r>
      <w:r w:rsidRPr="00151691">
        <w:rPr>
          <w:rFonts w:ascii="Times New Roman" w:hAnsi="Times New Roman"/>
          <w:b/>
          <w:sz w:val="28"/>
          <w:szCs w:val="28"/>
        </w:rPr>
        <w:t xml:space="preserve"> </w:t>
      </w:r>
      <w:r w:rsidRPr="00151691">
        <w:rPr>
          <w:rFonts w:ascii="Times New Roman" w:hAnsi="Times New Roman"/>
          <w:sz w:val="28"/>
          <w:szCs w:val="28"/>
        </w:rPr>
        <w:t>городского округа Красноуральск на 2019 – 2024 годы» утверждена постановлением администрации городского округа Красноуральск от 09.11.2018 № 1381 (далее - Программа).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2.</w:t>
      </w:r>
      <w:r w:rsidRPr="00151691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151691">
        <w:rPr>
          <w:rFonts w:ascii="Times New Roman" w:hAnsi="Times New Roman"/>
          <w:b/>
          <w:sz w:val="28"/>
          <w:szCs w:val="28"/>
        </w:rPr>
        <w:t>22 121 100,0 рублей</w:t>
      </w:r>
      <w:r w:rsidRPr="00151691">
        <w:rPr>
          <w:rFonts w:ascii="Times New Roman" w:hAnsi="Times New Roman"/>
          <w:sz w:val="28"/>
          <w:szCs w:val="28"/>
        </w:rPr>
        <w:t xml:space="preserve">. 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на 2019 – 2024 годы за счет средств местного бюджета составит </w:t>
      </w:r>
      <w:r w:rsidRPr="00151691">
        <w:rPr>
          <w:rFonts w:ascii="Times New Roman" w:hAnsi="Times New Roman"/>
          <w:b/>
          <w:sz w:val="28"/>
          <w:szCs w:val="28"/>
        </w:rPr>
        <w:t>165 304 807,4 рублей</w:t>
      </w:r>
      <w:r w:rsidRPr="00151691">
        <w:rPr>
          <w:rFonts w:ascii="Times New Roman" w:hAnsi="Times New Roman"/>
          <w:sz w:val="28"/>
          <w:szCs w:val="28"/>
        </w:rPr>
        <w:t>, в том числе, по годам реализации: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- 2019 год – 43 653 869,0 рублей (увеличен на 20 559 700,0 рублей); 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- 2020 год – 24 798 607,68 рублей (увеличен на 780 700,0 рублей);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- 2021 год – 24 798 607,68 рублей (увеличен на 780 700,0 рублей);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- 2022 год – 24 017 907,68,0 рублей; 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- 2023 год – 24 017 907,68,0 рублей; </w:t>
      </w:r>
    </w:p>
    <w:p w:rsidR="009C2EAB" w:rsidRPr="00151691" w:rsidRDefault="009C2EAB" w:rsidP="009C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- 2024 год – 24 017 907,68,0 рублей.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151691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  <w:r w:rsidRPr="00151691">
        <w:rPr>
          <w:rFonts w:ascii="Times New Roman" w:hAnsi="Times New Roman"/>
          <w:b/>
          <w:sz w:val="28"/>
          <w:szCs w:val="28"/>
        </w:rPr>
        <w:tab/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>4.</w:t>
      </w:r>
      <w:r w:rsidRPr="00151691">
        <w:rPr>
          <w:rFonts w:ascii="Times New Roman" w:hAnsi="Times New Roman"/>
          <w:sz w:val="28"/>
          <w:szCs w:val="28"/>
        </w:rPr>
        <w:t xml:space="preserve">  В Приложение «План мероприятий по выполнению муниципальной Программы» вносятся следующие изменения: </w:t>
      </w:r>
    </w:p>
    <w:p w:rsidR="009C2EAB" w:rsidRPr="00151691" w:rsidRDefault="009C2EAB" w:rsidP="009C2EAB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В 2019 году увеличено финансирование мероприятия 1.1 «Ремонт автомобильных дорог общего пользования местного значения и искусственных сооружений на них в границах городского округа» на </w:t>
      </w:r>
      <w:r w:rsidRPr="00151691">
        <w:rPr>
          <w:rFonts w:ascii="Times New Roman" w:hAnsi="Times New Roman"/>
          <w:b/>
          <w:sz w:val="28"/>
          <w:szCs w:val="28"/>
        </w:rPr>
        <w:t>19 779 000,0</w:t>
      </w:r>
      <w:r w:rsidRPr="00151691">
        <w:rPr>
          <w:rFonts w:ascii="Times New Roman" w:hAnsi="Times New Roman"/>
          <w:sz w:val="28"/>
          <w:szCs w:val="28"/>
        </w:rPr>
        <w:t xml:space="preserve"> рублей в свези с необходимостью проведения ремонта двух дорог: участка автодороги на </w:t>
      </w:r>
      <w:proofErr w:type="spellStart"/>
      <w:r w:rsidRPr="00151691">
        <w:rPr>
          <w:rFonts w:ascii="Times New Roman" w:hAnsi="Times New Roman"/>
          <w:sz w:val="28"/>
          <w:szCs w:val="28"/>
        </w:rPr>
        <w:t>пос.Пригородный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от железнодорожного переезда до пересечения с </w:t>
      </w:r>
      <w:proofErr w:type="spellStart"/>
      <w:r w:rsidRPr="00151691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и участка дороги по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ул.Иллариона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91">
        <w:rPr>
          <w:rFonts w:ascii="Times New Roman" w:hAnsi="Times New Roman"/>
          <w:sz w:val="28"/>
          <w:szCs w:val="28"/>
        </w:rPr>
        <w:t>Янкина</w:t>
      </w:r>
      <w:proofErr w:type="spellEnd"/>
      <w:r w:rsidRPr="00151691">
        <w:rPr>
          <w:rFonts w:ascii="Times New Roman" w:hAnsi="Times New Roman"/>
          <w:sz w:val="28"/>
          <w:szCs w:val="28"/>
        </w:rPr>
        <w:t>. В качестве финансово-экономического обоснования заявленных финансовых потребностей к Проекту представлены локальные сметные расчеты на проведение указанных работ на сумму</w:t>
      </w:r>
      <w:r w:rsidRPr="0015169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151691">
        <w:rPr>
          <w:rFonts w:ascii="Times New Roman" w:hAnsi="Times New Roman"/>
          <w:b/>
          <w:sz w:val="28"/>
          <w:szCs w:val="28"/>
        </w:rPr>
        <w:t xml:space="preserve">25 195 334,82 </w:t>
      </w:r>
      <w:r w:rsidRPr="00151691">
        <w:rPr>
          <w:rFonts w:ascii="Times New Roman" w:hAnsi="Times New Roman"/>
          <w:sz w:val="28"/>
          <w:szCs w:val="28"/>
        </w:rPr>
        <w:t>рубля.</w:t>
      </w:r>
    </w:p>
    <w:p w:rsidR="009C2EAB" w:rsidRPr="00151691" w:rsidRDefault="009C2EAB" w:rsidP="009C2EA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В случае отсутствия дополнительных бюджетных ассигнований на реализацию данного мероприятия Программы существует вероятность невыполнения установленных целевых показателей Программы.   </w:t>
      </w:r>
    </w:p>
    <w:p w:rsidR="009C2EAB" w:rsidRPr="00151691" w:rsidRDefault="009C2EAB" w:rsidP="009C2EA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</w:t>
      </w:r>
      <w:r w:rsidRPr="00151691">
        <w:rPr>
          <w:rFonts w:ascii="Times New Roman" w:hAnsi="Times New Roman"/>
          <w:sz w:val="28"/>
          <w:szCs w:val="28"/>
        </w:rPr>
        <w:lastRenderedPageBreak/>
        <w:t>развития городского округа Красноуральск, в нарушение пункта 2 главы 1 Порядка № 220.</w:t>
      </w:r>
    </w:p>
    <w:p w:rsidR="009C2EAB" w:rsidRPr="00151691" w:rsidRDefault="009C2EAB" w:rsidP="009C2EAB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Увеличены бюджетные ассигнования мероприятия 1.2. «Содержание автомобильных дорог общего пользования местного значения и искусственных сооружений на них в границах городского округа»:</w:t>
      </w:r>
    </w:p>
    <w:p w:rsidR="009C2EAB" w:rsidRPr="00151691" w:rsidRDefault="009C2EAB" w:rsidP="009C2EAB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-в 2019 году на 780 000,0 рублей;</w:t>
      </w:r>
    </w:p>
    <w:p w:rsidR="009C2EAB" w:rsidRPr="00151691" w:rsidRDefault="009C2EAB" w:rsidP="009C2EAB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-в 2020 году на 780 000,0 рублей;</w:t>
      </w:r>
    </w:p>
    <w:p w:rsidR="009C2EAB" w:rsidRPr="00151691" w:rsidRDefault="009C2EAB" w:rsidP="009C2EAB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-в 2021 году на 780 000,0 рублей.</w:t>
      </w:r>
    </w:p>
    <w:p w:rsidR="009C2EAB" w:rsidRPr="00151691" w:rsidRDefault="009C2EAB" w:rsidP="009C2EA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В рамках данного мероприятия предусмотрено приобретение дорожных знаков, содержание светофорных объектов и светофоров Т7, а также нанесение дорожной разметки на улично-дорожной сети. 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>5</w:t>
      </w:r>
      <w:r w:rsidRPr="00151691">
        <w:rPr>
          <w:b/>
          <w:sz w:val="28"/>
          <w:szCs w:val="28"/>
        </w:rPr>
        <w:t>.</w:t>
      </w:r>
      <w:r w:rsidRPr="00151691">
        <w:rPr>
          <w:sz w:val="28"/>
          <w:szCs w:val="28"/>
        </w:rPr>
        <w:t xml:space="preserve"> </w:t>
      </w:r>
      <w:r w:rsidRPr="00151691">
        <w:rPr>
          <w:rFonts w:ascii="Times New Roman" w:hAnsi="Times New Roman"/>
          <w:sz w:val="28"/>
          <w:szCs w:val="28"/>
        </w:rPr>
        <w:t>В приложении «Цели, задачи и целевые показатели реализации муниципальной программы» внесены изменения:</w:t>
      </w:r>
    </w:p>
    <w:p w:rsidR="009C2EAB" w:rsidRPr="00151691" w:rsidRDefault="009C2EAB" w:rsidP="009C2E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 xml:space="preserve">Увеличено значение целевого показателя 1.1.1. «Общая площадь автомобильных дорог общего пользования местного значения, на которых выполнен ремонт» на 23 055,0 </w:t>
      </w:r>
      <w:proofErr w:type="spellStart"/>
      <w:r w:rsidRPr="00151691">
        <w:rPr>
          <w:rFonts w:ascii="Times New Roman" w:hAnsi="Times New Roman"/>
          <w:sz w:val="28"/>
          <w:szCs w:val="28"/>
        </w:rPr>
        <w:t>кв.м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. за счет планируемого ремонта участка автодороги на </w:t>
      </w:r>
      <w:proofErr w:type="spellStart"/>
      <w:r w:rsidRPr="00151691">
        <w:rPr>
          <w:rFonts w:ascii="Times New Roman" w:hAnsi="Times New Roman"/>
          <w:sz w:val="28"/>
          <w:szCs w:val="28"/>
        </w:rPr>
        <w:t>пос.Пригородный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от железнодорожного переезда до пересечения с </w:t>
      </w:r>
      <w:proofErr w:type="spellStart"/>
      <w:r w:rsidRPr="00151691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(13 003 </w:t>
      </w:r>
      <w:proofErr w:type="spellStart"/>
      <w:r w:rsidRPr="00151691">
        <w:rPr>
          <w:rFonts w:ascii="Times New Roman" w:hAnsi="Times New Roman"/>
          <w:sz w:val="28"/>
          <w:szCs w:val="28"/>
        </w:rPr>
        <w:t>кв.м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.) и участка дороги по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51691">
        <w:rPr>
          <w:rFonts w:ascii="Times New Roman" w:hAnsi="Times New Roman"/>
          <w:sz w:val="28"/>
          <w:szCs w:val="28"/>
        </w:rPr>
        <w:t>ул.Иллариона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91">
        <w:rPr>
          <w:rFonts w:ascii="Times New Roman" w:hAnsi="Times New Roman"/>
          <w:sz w:val="28"/>
          <w:szCs w:val="28"/>
        </w:rPr>
        <w:t>Янкина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 (10 053 </w:t>
      </w:r>
      <w:proofErr w:type="spellStart"/>
      <w:r w:rsidRPr="00151691">
        <w:rPr>
          <w:rFonts w:ascii="Times New Roman" w:hAnsi="Times New Roman"/>
          <w:sz w:val="28"/>
          <w:szCs w:val="28"/>
        </w:rPr>
        <w:t>кв.м</w:t>
      </w:r>
      <w:proofErr w:type="spellEnd"/>
      <w:r w:rsidRPr="00151691">
        <w:rPr>
          <w:rFonts w:ascii="Times New Roman" w:hAnsi="Times New Roman"/>
          <w:sz w:val="28"/>
          <w:szCs w:val="28"/>
        </w:rPr>
        <w:t xml:space="preserve">.). Данный показатель в 2019 году составит 35 079,741 </w:t>
      </w:r>
      <w:proofErr w:type="spellStart"/>
      <w:r w:rsidRPr="00151691">
        <w:rPr>
          <w:rFonts w:ascii="Times New Roman" w:hAnsi="Times New Roman"/>
          <w:sz w:val="28"/>
          <w:szCs w:val="28"/>
        </w:rPr>
        <w:t>кв.м</w:t>
      </w:r>
      <w:proofErr w:type="spellEnd"/>
      <w:r w:rsidRPr="00151691">
        <w:rPr>
          <w:rFonts w:ascii="Times New Roman" w:hAnsi="Times New Roman"/>
          <w:sz w:val="28"/>
          <w:szCs w:val="28"/>
        </w:rPr>
        <w:t>.;</w:t>
      </w:r>
    </w:p>
    <w:p w:rsidR="009C2EAB" w:rsidRPr="00151691" w:rsidRDefault="009C2EAB" w:rsidP="009C2E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добавлены целевые показатели реализации муниципальной программы и источники его значения: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-1.1.3. «Количество приобретенных дорожных знаков»;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-1.1.4. «Количество светофорных объектов, подлежащих содержанию»;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-1.1.5. «Количество светофоров Т7, подлежащих содержанию»;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-1.1.6. «Протяженность автомобильных дорог, в отношении которых выполнены работы по обновлению дорожной разметки».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  <w:t>Мероприятия и целевые показатели Программы, отраженные в Проекте взаимоувязаны между собой по срокам реализации.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ab/>
      </w:r>
      <w:r w:rsidRPr="00151691">
        <w:rPr>
          <w:rFonts w:ascii="Times New Roman" w:hAnsi="Times New Roman"/>
          <w:b/>
          <w:sz w:val="28"/>
          <w:szCs w:val="28"/>
        </w:rPr>
        <w:t>6.</w:t>
      </w:r>
      <w:r w:rsidRPr="00151691">
        <w:rPr>
          <w:rFonts w:ascii="Times New Roman" w:hAnsi="Times New Roman"/>
          <w:sz w:val="28"/>
          <w:szCs w:val="28"/>
        </w:rPr>
        <w:t xml:space="preserve"> 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9C2EAB" w:rsidRPr="00151691" w:rsidRDefault="009C2EAB" w:rsidP="009C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Однако Приложение «Цели и задачи муниципальной программы» и Стратегия №154, указанная в качестве источника целевых показателей Программы, не взаимоувязаны между собой, так как в данном стратегическом документе не определены основные целевые показатели Программы.</w:t>
      </w:r>
      <w:r w:rsidRPr="00151691">
        <w:rPr>
          <w:rFonts w:ascii="Times New Roman" w:hAnsi="Times New Roman"/>
          <w:sz w:val="28"/>
          <w:szCs w:val="28"/>
        </w:rPr>
        <w:tab/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7.</w:t>
      </w:r>
      <w:r w:rsidRPr="00151691"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Паспорт Программы;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муниципальной Программы»;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Программы»;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- приложение Программы «Методика расчета целевых показателей».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Вывод:</w:t>
      </w:r>
    </w:p>
    <w:p w:rsidR="009C2EAB" w:rsidRPr="00151691" w:rsidRDefault="009C2EAB" w:rsidP="009C2EAB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ab/>
        <w:t>1.</w:t>
      </w:r>
      <w:r w:rsidRPr="00151691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2.</w:t>
      </w:r>
      <w:r w:rsidRPr="00151691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 городского округа Красноуральск, изложенные в Заключении. В соответствии с подпунктом 3 пункта 8 главы 2 Порядка №220 при дальнейшей реализации Программы приложение «Цели, задачи и целевые показатели реализации муниципальной программы» привести в соответствие со стратегическими документами городского округа Красноуральск.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>3.</w:t>
      </w:r>
      <w:r w:rsidRPr="00151691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20.02.2018.</w:t>
      </w:r>
    </w:p>
    <w:p w:rsidR="009C2EAB" w:rsidRPr="00151691" w:rsidRDefault="009C2EAB" w:rsidP="009C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C2EAB" w:rsidRPr="00151691" w:rsidRDefault="009C2EAB" w:rsidP="009C2EAB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9C2EAB" w:rsidRPr="00151691" w:rsidRDefault="009C2EAB" w:rsidP="009C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EAB" w:rsidRPr="00151691" w:rsidRDefault="009C2EAB" w:rsidP="009C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691">
        <w:rPr>
          <w:rFonts w:ascii="Times New Roman" w:hAnsi="Times New Roman"/>
          <w:b/>
          <w:sz w:val="28"/>
          <w:szCs w:val="28"/>
        </w:rPr>
        <w:t xml:space="preserve"> 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Исполнитель:</w:t>
      </w:r>
    </w:p>
    <w:p w:rsidR="009C2EAB" w:rsidRPr="00151691" w:rsidRDefault="009C2EAB" w:rsidP="009C2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91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9C2EAB" w:rsidRPr="00151691" w:rsidRDefault="009C2EAB" w:rsidP="009C2EAB"/>
    <w:p w:rsidR="00620D7A" w:rsidRDefault="009C2EA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9A"/>
    <w:rsid w:val="005C739A"/>
    <w:rsid w:val="009C2EA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D730-1C05-4E34-8AE2-8F012AA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2019-03-06T06:24:00Z</dcterms:created>
  <dcterms:modified xsi:type="dcterms:W3CDTF">2019-03-06T06:24:00Z</dcterms:modified>
</cp:coreProperties>
</file>